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81" w:lineRule="exact"/>
        <w:ind w:left="102" w:right="0"/>
        <w:jc w:val="left"/>
        <w:textAlignment w:val="auto"/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MetaCell</w:t>
      </w:r>
      <w:r>
        <w:rPr>
          <w:rFonts w:hint="eastAsia" w:ascii="微软雅黑" w:hAnsi="微软雅黑" w:eastAsia="微软雅黑" w:cs="微软雅黑"/>
          <w:b/>
          <w:sz w:val="40"/>
          <w:szCs w:val="40"/>
          <w:vertAlign w:val="superscript"/>
          <w:lang w:val="en-US" w:eastAsia="zh-CN"/>
        </w:rPr>
        <w:t>TM</w:t>
      </w: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 xml:space="preserve"> CHO-100 培养基使用说明书（LM）</w:t>
      </w:r>
    </w:p>
    <w:p>
      <w:pPr>
        <w:pStyle w:val="2"/>
        <w:spacing w:before="235"/>
        <w:ind w:left="0" w:leftChars="0" w:firstLine="0" w:firstLineChars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340" w:lineRule="exact"/>
        <w:ind w:left="102"/>
        <w:textAlignment w:val="auto"/>
      </w:pPr>
      <w:r>
        <w:t>产品简介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102" w:right="98"/>
        <w:textAlignment w:val="auto"/>
      </w:pPr>
      <w:r>
        <w:rPr>
          <w:rFonts w:hint="eastAsia"/>
          <w:lang w:eastAsia="zh-CN"/>
        </w:rPr>
        <w:t>MetaCell</w:t>
      </w:r>
      <w:r>
        <w:rPr>
          <w:rFonts w:hint="eastAsia"/>
          <w:vertAlign w:val="superscript"/>
          <w:lang w:eastAsia="zh-CN"/>
        </w:rPr>
        <w:t>TM</w:t>
      </w:r>
      <w:r>
        <w:rPr>
          <w:rFonts w:hint="eastAsia"/>
          <w:spacing w:val="2"/>
          <w:lang w:eastAsia="zh-CN"/>
        </w:rPr>
        <w:t xml:space="preserve"> CHO-100</w:t>
      </w:r>
      <w:r>
        <w:rPr>
          <w:rFonts w:hint="eastAsia"/>
          <w:spacing w:val="2"/>
          <w:lang w:val="en-US" w:eastAsia="zh-CN"/>
        </w:rPr>
        <w:t xml:space="preserve"> </w:t>
      </w:r>
      <w:r>
        <w:rPr>
          <w:rFonts w:hint="eastAsia"/>
        </w:rPr>
        <w:t>培养基是为</w:t>
      </w:r>
      <w:r>
        <w:rPr>
          <w:rFonts w:hint="eastAsia"/>
          <w:lang w:eastAsia="zh-CN"/>
        </w:rPr>
        <w:t>批培养（Batch）</w:t>
      </w:r>
      <w:r>
        <w:rPr>
          <w:rFonts w:hint="eastAsia"/>
          <w:spacing w:val="4"/>
        </w:rPr>
        <w:t>和</w:t>
      </w:r>
      <w:r>
        <w:rPr>
          <w:rFonts w:hint="eastAsia"/>
          <w:lang w:eastAsia="zh-CN"/>
        </w:rPr>
        <w:t>流加培养（Feed-batch）</w:t>
      </w:r>
      <w:r>
        <w:rPr>
          <w:rFonts w:hint="eastAsia"/>
          <w:spacing w:val="2"/>
        </w:rPr>
        <w:t>CHO</w:t>
      </w:r>
      <w:r>
        <w:rPr>
          <w:rFonts w:hint="eastAsia"/>
        </w:rPr>
        <w:t>细胞来获得高性能和高产量的蛋白而开发的。该培养基</w:t>
      </w:r>
      <w:r>
        <w:rPr>
          <w:rFonts w:hint="eastAsia"/>
          <w:lang w:eastAsia="zh-CN"/>
        </w:rPr>
        <w:t>是</w:t>
      </w:r>
      <w:r>
        <w:rPr>
          <w:rFonts w:hint="eastAsia"/>
        </w:rPr>
        <w:t>一种无</w:t>
      </w:r>
      <w:r>
        <w:rPr>
          <w:rFonts w:hint="eastAsia"/>
          <w:spacing w:val="-4"/>
        </w:rPr>
        <w:t>动物来源成份、无水解物、无蛋白的化学成份限定的基础培养基，不含酚红和谷氨酰胺</w:t>
      </w:r>
      <w:r>
        <w:rPr>
          <w:rFonts w:hint="eastAsia"/>
          <w:spacing w:val="-4"/>
          <w:lang w:eastAsia="zh-CN"/>
        </w:rPr>
        <w:t>，含有6g/L葡萄糖</w:t>
      </w:r>
      <w:r>
        <w:rPr>
          <w:rFonts w:hint="eastAsia"/>
          <w:spacing w:val="-4"/>
        </w:rPr>
        <w:t>，可用于</w:t>
      </w:r>
      <w:r>
        <w:rPr>
          <w:rFonts w:hint="eastAsia"/>
        </w:rPr>
        <w:t>GS筛选系统的CHO-K1</w:t>
      </w:r>
      <w:r>
        <w:rPr>
          <w:rFonts w:hint="eastAsia"/>
          <w:lang w:eastAsia="zh-CN"/>
        </w:rPr>
        <w:t>、</w:t>
      </w:r>
      <w:r>
        <w:rPr>
          <w:rFonts w:hint="eastAsia"/>
        </w:rPr>
        <w:t>CHO</w:t>
      </w:r>
      <w:r>
        <w:rPr>
          <w:rFonts w:hint="eastAsia"/>
          <w:lang w:eastAsia="zh-CN"/>
        </w:rPr>
        <w:t>-</w:t>
      </w:r>
      <w:r>
        <w:rPr>
          <w:rFonts w:hint="eastAsia"/>
        </w:rPr>
        <w:t>K1SV等细胞株的培养。</w:t>
      </w:r>
    </w:p>
    <w:p>
      <w:pPr>
        <w:pStyle w:val="3"/>
        <w:spacing w:before="16"/>
        <w:ind w:left="0"/>
        <w:rPr>
          <w:sz w:val="20"/>
          <w:szCs w:val="20"/>
        </w:rPr>
      </w:pPr>
    </w:p>
    <w:tbl>
      <w:tblPr>
        <w:tblStyle w:val="7"/>
        <w:tblpPr w:leftFromText="180" w:rightFromText="180" w:vertAnchor="page" w:horzAnchor="page" w:tblpX="794" w:tblpY="48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1417"/>
        <w:gridCol w:w="113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968" w:type="dxa"/>
            <w:shd w:val="clear" w:color="auto" w:fill="00B0F0"/>
          </w:tcPr>
          <w:p>
            <w:pPr>
              <w:pStyle w:val="3"/>
              <w:spacing w:before="17" w:line="320" w:lineRule="exact"/>
              <w:ind w:left="0" w:right="98"/>
              <w:jc w:val="center"/>
              <w:rPr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产品名称</w:t>
            </w:r>
          </w:p>
        </w:tc>
        <w:tc>
          <w:tcPr>
            <w:tcW w:w="1417" w:type="dxa"/>
            <w:shd w:val="clear" w:color="auto" w:fill="00B0F0"/>
          </w:tcPr>
          <w:p>
            <w:pPr>
              <w:pStyle w:val="3"/>
              <w:spacing w:before="17" w:line="320" w:lineRule="exact"/>
              <w:ind w:left="0" w:right="98"/>
              <w:jc w:val="center"/>
              <w:rPr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产品编码</w:t>
            </w:r>
          </w:p>
        </w:tc>
        <w:tc>
          <w:tcPr>
            <w:tcW w:w="1134" w:type="dxa"/>
            <w:shd w:val="clear" w:color="auto" w:fill="00B0F0"/>
          </w:tcPr>
          <w:p>
            <w:pPr>
              <w:pStyle w:val="3"/>
              <w:spacing w:before="17" w:line="320" w:lineRule="exact"/>
              <w:ind w:left="0" w:right="98"/>
              <w:jc w:val="center"/>
              <w:rPr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包装规格</w:t>
            </w:r>
          </w:p>
        </w:tc>
        <w:tc>
          <w:tcPr>
            <w:tcW w:w="1984" w:type="dxa"/>
            <w:shd w:val="clear" w:color="auto" w:fill="00B0F0"/>
          </w:tcPr>
          <w:p>
            <w:pPr>
              <w:pStyle w:val="3"/>
              <w:spacing w:before="17" w:line="320" w:lineRule="exact"/>
              <w:ind w:left="0" w:right="98"/>
              <w:jc w:val="center"/>
              <w:rPr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储存条件</w:t>
            </w:r>
          </w:p>
        </w:tc>
        <w:tc>
          <w:tcPr>
            <w:tcW w:w="1984" w:type="dxa"/>
            <w:shd w:val="clear" w:color="auto" w:fill="00B0F0"/>
          </w:tcPr>
          <w:p>
            <w:pPr>
              <w:pStyle w:val="3"/>
              <w:spacing w:before="17" w:line="320" w:lineRule="exact"/>
              <w:ind w:left="0" w:right="98"/>
              <w:jc w:val="center"/>
              <w:rPr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8" w:type="dxa"/>
            <w:vMerge w:val="restart"/>
            <w:vAlign w:val="center"/>
          </w:tcPr>
          <w:p>
            <w:pPr>
              <w:pStyle w:val="3"/>
              <w:spacing w:before="17" w:line="320" w:lineRule="exact"/>
              <w:ind w:left="0" w:right="98"/>
              <w:jc w:val="center"/>
            </w:pPr>
            <w:r>
              <w:rPr>
                <w:rFonts w:hint="eastAsia"/>
                <w:lang w:eastAsia="zh-CN"/>
              </w:rPr>
              <w:t>MetaCell</w:t>
            </w:r>
            <w:r>
              <w:rPr>
                <w:rFonts w:hint="eastAsia"/>
                <w:vertAlign w:val="superscript"/>
                <w:lang w:eastAsia="zh-CN"/>
              </w:rPr>
              <w:t>TM</w:t>
            </w:r>
            <w:r>
              <w:rPr>
                <w:rFonts w:hint="eastAsia"/>
                <w:lang w:eastAsia="zh-CN"/>
              </w:rPr>
              <w:t xml:space="preserve"> CHO-100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培养基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17" w:line="320" w:lineRule="exact"/>
              <w:ind w:left="0" w:right="98"/>
              <w:jc w:val="center"/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  <w:lang w:eastAsia="zh-CN"/>
              </w:rPr>
              <w:t>-0500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17" w:line="320" w:lineRule="exact"/>
              <w:ind w:left="0" w:right="9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500mL</w:t>
            </w:r>
          </w:p>
        </w:tc>
        <w:tc>
          <w:tcPr>
            <w:tcW w:w="19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17" w:line="320" w:lineRule="exact"/>
              <w:ind w:left="0" w:right="98"/>
              <w:jc w:val="center"/>
            </w:pPr>
            <w:r>
              <w:t>2-8°C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密闭、避光</w:t>
            </w:r>
          </w:p>
        </w:tc>
        <w:tc>
          <w:tcPr>
            <w:tcW w:w="1984" w:type="dxa"/>
            <w:vAlign w:val="center"/>
          </w:tcPr>
          <w:p>
            <w:pPr>
              <w:pStyle w:val="3"/>
              <w:spacing w:before="17" w:line="320" w:lineRule="exact"/>
              <w:ind w:left="0" w:right="9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  <w:lang w:eastAsia="zh-CN"/>
              </w:rPr>
              <w:t>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968" w:type="dxa"/>
            <w:vMerge w:val="continue"/>
          </w:tcPr>
          <w:p>
            <w:pPr>
              <w:pStyle w:val="3"/>
              <w:spacing w:before="17" w:line="320" w:lineRule="exact"/>
              <w:ind w:left="0" w:right="98"/>
              <w:jc w:val="both"/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spacing w:before="17" w:line="320" w:lineRule="exact"/>
              <w:ind w:left="0" w:right="98"/>
              <w:jc w:val="center"/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rFonts w:hint="eastAsia"/>
              </w:rPr>
              <w:t>1000-</w:t>
            </w:r>
            <w:r>
              <w:rPr>
                <w:rFonts w:hint="eastAsia"/>
                <w:lang w:eastAsia="zh-CN"/>
              </w:rPr>
              <w:t>1000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17" w:line="320" w:lineRule="exact"/>
              <w:ind w:left="0" w:right="9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1000mL</w:t>
            </w:r>
          </w:p>
        </w:tc>
        <w:tc>
          <w:tcPr>
            <w:tcW w:w="1984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before="17" w:line="320" w:lineRule="exact"/>
              <w:ind w:left="0" w:right="98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spacing w:before="17" w:line="320" w:lineRule="exact"/>
              <w:ind w:left="0" w:right="98"/>
              <w:jc w:val="center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</w:rPr>
              <w:t>个月</w:t>
            </w:r>
            <w:r>
              <w:rPr>
                <w:rFonts w:hint="eastAsia"/>
                <w:lang w:eastAsia="zh-CN"/>
              </w:rPr>
              <w:t>（暂定）</w:t>
            </w:r>
          </w:p>
        </w:tc>
      </w:tr>
    </w:tbl>
    <w:p>
      <w:pPr>
        <w:spacing w:before="54"/>
        <w:ind w:left="100"/>
        <w:rPr>
          <w:sz w:val="18"/>
          <w:szCs w:val="18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10" w:h="16840"/>
          <w:pgMar w:top="1360" w:right="560" w:bottom="1412" w:left="580" w:header="567" w:footer="567" w:gutter="0"/>
          <w:pgNumType w:fmt="decimal"/>
          <w:cols w:space="720" w:num="1"/>
        </w:sectPr>
      </w:pPr>
      <w:r>
        <w:rPr>
          <w:sz w:val="18"/>
          <w:szCs w:val="18"/>
          <w:lang w:eastAsia="zh-CN"/>
        </w:rPr>
        <w:t>注：失效日期见产品标签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sz w:val="18"/>
          <w:szCs w:val="18"/>
          <w:lang w:eastAsia="zh-CN"/>
        </w:rPr>
        <w:t>仅用于研究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/>
        <w:ind w:left="0" w:leftChars="0" w:firstLine="0" w:firstLineChars="0"/>
        <w:jc w:val="both"/>
        <w:textAlignment w:val="auto"/>
        <w:sectPr>
          <w:headerReference r:id="rId9" w:type="default"/>
          <w:footerReference r:id="rId10" w:type="default"/>
          <w:type w:val="continuous"/>
          <w:pgSz w:w="11910" w:h="16840"/>
          <w:pgMar w:top="1360" w:right="560" w:bottom="280" w:left="580" w:header="720" w:footer="720" w:gutter="0"/>
          <w:pgNumType w:fmt="decimal"/>
          <w:cols w:space="430" w:num="2"/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/>
        <w:ind w:left="0" w:leftChars="0" w:firstLine="0" w:firstLineChars="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准备完全培养基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0" w:leftChars="0" w:firstLine="0" w:firstLineChars="0"/>
        <w:textAlignment w:val="auto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val="en-US" w:eastAsia="zh-CN"/>
        </w:rPr>
        <w:t>TM</w:t>
      </w:r>
      <w:r>
        <w:rPr>
          <w:rFonts w:hint="eastAsia"/>
          <w:sz w:val="20"/>
          <w:szCs w:val="20"/>
          <w:lang w:eastAsia="zh-CN"/>
        </w:rPr>
        <w:t xml:space="preserve"> CHO-100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培养基</w:t>
      </w:r>
      <w:r>
        <w:rPr>
          <w:rFonts w:hint="eastAsia"/>
          <w:sz w:val="20"/>
          <w:szCs w:val="20"/>
        </w:rPr>
        <w:t>使用前</w:t>
      </w:r>
      <w:r>
        <w:rPr>
          <w:rFonts w:hint="eastAsia"/>
          <w:sz w:val="20"/>
          <w:szCs w:val="20"/>
          <w:lang w:eastAsia="zh-CN"/>
        </w:rPr>
        <w:t>可根据需要补加：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left="340" w:leftChars="0" w:hanging="340" w:firstLineChars="0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无菌</w:t>
      </w:r>
      <w:r>
        <w:rPr>
          <w:rFonts w:hint="eastAsia"/>
          <w:sz w:val="20"/>
          <w:szCs w:val="20"/>
        </w:rPr>
        <w:t>L-谷氨酰胺溶液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无菌</w:t>
      </w:r>
      <w:r>
        <w:rPr>
          <w:rFonts w:hint="eastAsia" w:ascii="微软雅黑 Light" w:hAnsi="微软雅黑 Light" w:eastAsia="微软雅黑 Light" w:cs="微软雅黑 Light"/>
          <w:sz w:val="20"/>
          <w:szCs w:val="20"/>
        </w:rPr>
        <w:t xml:space="preserve">HT 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补料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无菌</w:t>
      </w:r>
      <w:r>
        <w:rPr>
          <w:rFonts w:hint="eastAsia" w:ascii="微软雅黑 Light" w:hAnsi="微软雅黑 Light" w:eastAsia="微软雅黑 Light" w:cs="微软雅黑 Light"/>
          <w:sz w:val="20"/>
          <w:szCs w:val="20"/>
        </w:rPr>
        <w:t>葡萄糖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溶液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0" w:lineRule="exact"/>
        <w:ind w:left="340" w:leftChars="0" w:hanging="340" w:firstLineChars="0"/>
        <w:textAlignment w:val="auto"/>
        <w:rPr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无菌抗结团剂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/>
        <w:ind w:left="0" w:leftChars="0" w:firstLine="0" w:firstLineChars="0"/>
        <w:jc w:val="both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适应MetaCell CHO-100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>培养基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0" w:leftChars="0" w:right="108" w:firstLine="0" w:firstLineChars="0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多数CHO细胞可以直接从无血清或无动物成份培养基适应到MetaCell</w:t>
      </w:r>
      <w:r>
        <w:rPr>
          <w:rFonts w:hint="eastAsia"/>
          <w:sz w:val="20"/>
          <w:szCs w:val="20"/>
          <w:vertAlign w:val="superscript"/>
          <w:lang w:val="en-US" w:eastAsia="zh-CN"/>
        </w:rPr>
        <w:t>TM</w:t>
      </w:r>
      <w:r>
        <w:rPr>
          <w:rFonts w:hint="eastAsia"/>
          <w:sz w:val="20"/>
          <w:szCs w:val="20"/>
          <w:lang w:eastAsia="zh-CN"/>
        </w:rPr>
        <w:t xml:space="preserve"> CHO-100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培养基，如果有需要，也可以通过逐渐驯化使其适应于MetaCell</w:t>
      </w:r>
      <w:r>
        <w:rPr>
          <w:rFonts w:hint="eastAsia"/>
          <w:sz w:val="20"/>
          <w:szCs w:val="20"/>
          <w:vertAlign w:val="superscript"/>
          <w:lang w:val="en-US" w:eastAsia="zh-CN"/>
        </w:rPr>
        <w:t>TM</w:t>
      </w:r>
      <w:r>
        <w:rPr>
          <w:rFonts w:hint="eastAsia"/>
          <w:sz w:val="20"/>
          <w:szCs w:val="20"/>
          <w:lang w:eastAsia="zh-CN"/>
        </w:rPr>
        <w:t xml:space="preserve"> CHO-100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培养基中生长。在开始适应过程前，细胞活率必须高于95%，且细胞处于对数生长中期。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4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  <w:t>直接适应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340" w:leftChars="0" w:right="152" w:rightChars="0" w:hanging="340" w:firstLineChars="0"/>
        <w:jc w:val="both"/>
        <w:textAlignment w:val="auto"/>
        <w:rPr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将细胞以</w:t>
      </w:r>
      <w:r>
        <w:rPr>
          <w:rFonts w:hint="eastAsia"/>
          <w:spacing w:val="-5"/>
          <w:sz w:val="20"/>
          <w:szCs w:val="20"/>
        </w:rPr>
        <w:t>0.5-1.0x10</w:t>
      </w:r>
      <w:r>
        <w:rPr>
          <w:rFonts w:hint="eastAsia"/>
          <w:spacing w:val="-5"/>
          <w:position w:val="10"/>
          <w:sz w:val="16"/>
          <w:szCs w:val="16"/>
        </w:rPr>
        <w:t>6</w:t>
      </w:r>
      <w:r>
        <w:rPr>
          <w:rFonts w:hint="eastAsia"/>
          <w:spacing w:val="-5"/>
          <w:position w:val="10"/>
          <w:sz w:val="20"/>
          <w:szCs w:val="20"/>
          <w:lang w:eastAsia="zh-CN"/>
        </w:rPr>
        <w:t xml:space="preserve"> </w:t>
      </w:r>
      <w:r>
        <w:rPr>
          <w:rFonts w:hint="eastAsia"/>
          <w:spacing w:val="-5"/>
          <w:sz w:val="20"/>
          <w:szCs w:val="20"/>
          <w:lang w:eastAsia="zh-CN"/>
        </w:rPr>
        <w:t>Cells</w:t>
      </w:r>
      <w:r>
        <w:rPr>
          <w:rFonts w:hint="eastAsia"/>
          <w:spacing w:val="-5"/>
          <w:sz w:val="20"/>
          <w:szCs w:val="20"/>
        </w:rPr>
        <w:t>/mL</w:t>
      </w:r>
      <w:r>
        <w:rPr>
          <w:rFonts w:hint="eastAsia"/>
          <w:spacing w:val="-2"/>
          <w:sz w:val="20"/>
          <w:szCs w:val="20"/>
        </w:rPr>
        <w:t>密度从原始培养液中直接转移接种到100</w:t>
      </w:r>
      <w:r>
        <w:rPr>
          <w:rFonts w:hint="eastAsia"/>
          <w:spacing w:val="-4"/>
          <w:sz w:val="20"/>
          <w:szCs w:val="20"/>
        </w:rPr>
        <w:t xml:space="preserve">% </w:t>
      </w:r>
      <w:r>
        <w:rPr>
          <w:rFonts w:hint="eastAsia"/>
          <w:sz w:val="20"/>
          <w:szCs w:val="20"/>
          <w:lang w:eastAsia="zh-CN"/>
        </w:rPr>
        <w:t>MetaCell</w:t>
      </w:r>
      <w:r>
        <w:rPr>
          <w:rFonts w:hint="eastAsia"/>
          <w:sz w:val="20"/>
          <w:szCs w:val="20"/>
          <w:vertAlign w:val="superscript"/>
          <w:lang w:val="en-US" w:eastAsia="zh-CN"/>
        </w:rPr>
        <w:t>TM</w:t>
      </w:r>
      <w:r>
        <w:rPr>
          <w:rFonts w:hint="eastAsia"/>
          <w:sz w:val="20"/>
          <w:szCs w:val="20"/>
          <w:lang w:eastAsia="zh-CN"/>
        </w:rPr>
        <w:t xml:space="preserve"> CHO-100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培养基</w:t>
      </w:r>
      <w:r>
        <w:rPr>
          <w:rFonts w:hint="eastAsia"/>
          <w:spacing w:val="3"/>
          <w:sz w:val="20"/>
          <w:szCs w:val="20"/>
        </w:rPr>
        <w:t>中</w:t>
      </w:r>
      <w:r>
        <w:rPr>
          <w:rFonts w:hint="eastAsia"/>
          <w:sz w:val="20"/>
          <w:szCs w:val="20"/>
          <w:lang w:eastAsia="zh-CN"/>
        </w:rPr>
        <w:t>（</w:t>
      </w:r>
      <w:r>
        <w:rPr>
          <w:rFonts w:hint="eastAsia"/>
          <w:sz w:val="20"/>
          <w:szCs w:val="20"/>
        </w:rPr>
        <w:t>转移过程无需完全去除原培养基</w:t>
      </w:r>
      <w:r>
        <w:rPr>
          <w:rFonts w:hint="eastAsia"/>
          <w:sz w:val="20"/>
          <w:szCs w:val="20"/>
          <w:lang w:eastAsia="zh-CN"/>
        </w:rPr>
        <w:t>）</w:t>
      </w:r>
      <w:r>
        <w:rPr>
          <w:rFonts w:hint="eastAsia"/>
          <w:sz w:val="20"/>
          <w:szCs w:val="20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line="340" w:lineRule="exact"/>
        <w:ind w:right="126" w:rightChars="0"/>
        <w:jc w:val="both"/>
        <w:textAlignment w:val="auto"/>
        <w:rPr>
          <w:sz w:val="20"/>
          <w:szCs w:val="20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340" w:lineRule="exact"/>
        <w:ind w:left="340" w:leftChars="0" w:right="153" w:rightChars="0" w:hanging="340" w:firstLineChars="0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pacing w:val="-4"/>
          <w:sz w:val="20"/>
          <w:szCs w:val="20"/>
          <w:lang w:eastAsia="zh-CN"/>
        </w:rPr>
        <w:t>每2-3天进行传代培养，连续传代至少2周，如细胞增殖速率恢复到适应前水平且细胞活率高于95%，可认为细胞已经完全适应了MetaCell</w:t>
      </w:r>
      <w:r>
        <w:rPr>
          <w:rFonts w:hint="eastAsia"/>
          <w:spacing w:val="-4"/>
          <w:sz w:val="20"/>
          <w:szCs w:val="20"/>
          <w:vertAlign w:val="superscript"/>
          <w:lang w:val="en-US" w:eastAsia="zh-CN"/>
        </w:rPr>
        <w:t>TM</w:t>
      </w:r>
      <w:r>
        <w:rPr>
          <w:rFonts w:hint="eastAsia"/>
          <w:spacing w:val="-4"/>
          <w:sz w:val="20"/>
          <w:szCs w:val="20"/>
          <w:lang w:eastAsia="zh-CN"/>
        </w:rPr>
        <w:t xml:space="preserve"> CHO-100</w:t>
      </w:r>
      <w:r>
        <w:rPr>
          <w:rFonts w:hint="eastAsia"/>
          <w:spacing w:val="-4"/>
          <w:sz w:val="20"/>
          <w:szCs w:val="20"/>
          <w:lang w:val="en-US" w:eastAsia="zh-CN"/>
        </w:rPr>
        <w:t xml:space="preserve"> </w:t>
      </w:r>
      <w:r>
        <w:rPr>
          <w:rFonts w:hint="eastAsia"/>
          <w:spacing w:val="-4"/>
          <w:sz w:val="20"/>
          <w:szCs w:val="20"/>
          <w:lang w:eastAsia="zh-CN"/>
        </w:rPr>
        <w:t>培养基。</w:t>
      </w:r>
      <w:r>
        <w:rPr>
          <w:rFonts w:hint="eastAsia"/>
          <w:spacing w:val="-4"/>
          <w:sz w:val="20"/>
          <w:szCs w:val="20"/>
        </w:rPr>
        <w:t>之后， 可将接种密度降低至0.</w:t>
      </w:r>
      <w:r>
        <w:rPr>
          <w:rFonts w:hint="eastAsia"/>
          <w:spacing w:val="-4"/>
          <w:sz w:val="20"/>
          <w:szCs w:val="20"/>
          <w:lang w:eastAsia="zh-CN"/>
        </w:rPr>
        <w:t>5</w:t>
      </w:r>
      <w:r>
        <w:rPr>
          <w:rFonts w:hint="eastAsia"/>
          <w:spacing w:val="-4"/>
          <w:sz w:val="20"/>
          <w:szCs w:val="20"/>
        </w:rPr>
        <w:t>x10</w:t>
      </w:r>
      <w:r>
        <w:rPr>
          <w:rFonts w:hint="eastAsia"/>
          <w:spacing w:val="-4"/>
          <w:sz w:val="20"/>
          <w:szCs w:val="20"/>
          <w:vertAlign w:val="superscript"/>
        </w:rPr>
        <w:t>6</w:t>
      </w:r>
      <w:r>
        <w:rPr>
          <w:rFonts w:hint="eastAsia"/>
          <w:spacing w:val="-4"/>
          <w:sz w:val="20"/>
          <w:szCs w:val="20"/>
          <w:lang w:eastAsia="zh-CN"/>
        </w:rPr>
        <w:t xml:space="preserve"> Cells</w:t>
      </w:r>
      <w:r>
        <w:rPr>
          <w:rFonts w:hint="eastAsia"/>
          <w:spacing w:val="-4"/>
          <w:sz w:val="20"/>
          <w:szCs w:val="20"/>
        </w:rPr>
        <w:t>/mL。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340" w:lineRule="exact"/>
        <w:ind w:left="340" w:leftChars="0" w:right="153" w:rightChars="0" w:hanging="340" w:firstLineChars="0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如直接适应方法无效，请尝试驯化适应方法。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100" w:line="34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  <w:t>驯化适应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320" w:leftChars="0" w:right="120" w:rightChars="0" w:hanging="320" w:firstLineChars="0"/>
        <w:jc w:val="both"/>
        <w:textAlignment w:val="auto"/>
        <w:rPr>
          <w:sz w:val="20"/>
          <w:szCs w:val="20"/>
          <w:lang w:eastAsia="zh-CN"/>
        </w:rPr>
      </w:pPr>
      <w:r>
        <w:rPr>
          <w:rFonts w:hint="eastAsia"/>
          <w:spacing w:val="-6"/>
          <w:sz w:val="20"/>
          <w:szCs w:val="20"/>
        </w:rPr>
        <w:t>将细胞以</w:t>
      </w:r>
      <w:r>
        <w:rPr>
          <w:rFonts w:hint="eastAsia"/>
          <w:spacing w:val="-3"/>
          <w:sz w:val="20"/>
          <w:szCs w:val="20"/>
        </w:rPr>
        <w:t>0.5-1.0x10</w:t>
      </w:r>
      <w:r>
        <w:rPr>
          <w:rFonts w:hint="eastAsia"/>
          <w:spacing w:val="-3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sz w:val="20"/>
          <w:szCs w:val="20"/>
          <w:lang w:eastAsia="zh-CN"/>
        </w:rPr>
        <w:t>Cells</w:t>
      </w:r>
      <w:r>
        <w:rPr>
          <w:rFonts w:hint="eastAsia"/>
          <w:spacing w:val="-3"/>
          <w:sz w:val="20"/>
          <w:szCs w:val="20"/>
        </w:rPr>
        <w:t>/mL</w:t>
      </w:r>
      <w:r>
        <w:rPr>
          <w:rFonts w:hint="eastAsia"/>
          <w:spacing w:val="-4"/>
          <w:sz w:val="20"/>
          <w:szCs w:val="20"/>
        </w:rPr>
        <w:t>的活细胞密度接种，使用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/>
          <w:spacing w:val="3"/>
          <w:sz w:val="20"/>
          <w:szCs w:val="20"/>
          <w:lang w:eastAsia="zh-CN"/>
        </w:rPr>
        <w:t xml:space="preserve"> CHO-100</w:t>
      </w:r>
      <w:r>
        <w:rPr>
          <w:rFonts w:hint="eastAsia"/>
          <w:spacing w:val="3"/>
          <w:sz w:val="20"/>
          <w:szCs w:val="20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>基础培养基</w:t>
      </w:r>
      <w:r>
        <w:rPr>
          <w:rFonts w:hint="eastAsia"/>
          <w:spacing w:val="6"/>
          <w:sz w:val="20"/>
          <w:szCs w:val="20"/>
        </w:rPr>
        <w:t>与原始培养基混合物对细胞进行传代培养，并逐步提高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/>
          <w:spacing w:val="6"/>
          <w:sz w:val="20"/>
          <w:szCs w:val="20"/>
          <w:lang w:eastAsia="zh-CN"/>
        </w:rPr>
        <w:t xml:space="preserve"> CHO-100培养基</w:t>
      </w:r>
      <w:r>
        <w:rPr>
          <w:rFonts w:hint="eastAsia"/>
          <w:spacing w:val="6"/>
          <w:sz w:val="20"/>
          <w:szCs w:val="20"/>
        </w:rPr>
        <w:t>比例</w:t>
      </w:r>
      <w:r>
        <w:rPr>
          <w:rFonts w:hint="eastAsia"/>
          <w:spacing w:val="6"/>
          <w:sz w:val="20"/>
          <w:szCs w:val="20"/>
          <w:lang w:eastAsia="zh-CN"/>
        </w:rPr>
        <w:t>（</w:t>
      </w:r>
      <w:r>
        <w:rPr>
          <w:rFonts w:hint="eastAsia"/>
          <w:spacing w:val="6"/>
          <w:sz w:val="20"/>
          <w:szCs w:val="20"/>
        </w:rPr>
        <w:t>依次为50:50</w:t>
      </w:r>
      <w:r>
        <w:rPr>
          <w:rFonts w:hint="eastAsia"/>
          <w:spacing w:val="6"/>
          <w:sz w:val="20"/>
          <w:szCs w:val="20"/>
          <w:lang w:eastAsia="zh-CN"/>
        </w:rPr>
        <w:t>，</w:t>
      </w:r>
      <w:r>
        <w:rPr>
          <w:rFonts w:hint="eastAsia"/>
          <w:spacing w:val="6"/>
          <w:sz w:val="20"/>
          <w:szCs w:val="20"/>
        </w:rPr>
        <w:t>75:25，90:10</w:t>
      </w:r>
      <w:r>
        <w:rPr>
          <w:rFonts w:hint="eastAsia"/>
          <w:spacing w:val="6"/>
          <w:sz w:val="20"/>
          <w:szCs w:val="20"/>
          <w:lang w:eastAsia="zh-CN"/>
        </w:rPr>
        <w:t>，</w:t>
      </w:r>
      <w:r>
        <w:rPr>
          <w:rFonts w:hint="eastAsia"/>
          <w:spacing w:val="6"/>
          <w:sz w:val="20"/>
          <w:szCs w:val="20"/>
        </w:rPr>
        <w:t>100:0，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/>
          <w:spacing w:val="6"/>
          <w:sz w:val="20"/>
          <w:szCs w:val="20"/>
          <w:lang w:eastAsia="zh-CN"/>
        </w:rPr>
        <w:t xml:space="preserve"> CHO-10</w:t>
      </w:r>
      <w:r>
        <w:rPr>
          <w:rFonts w:hint="eastAsia"/>
          <w:spacing w:val="6"/>
          <w:sz w:val="20"/>
          <w:szCs w:val="20"/>
          <w:lang w:val="en-US" w:eastAsia="zh-CN"/>
        </w:rPr>
        <w:t>0</w:t>
      </w:r>
      <w:r>
        <w:rPr>
          <w:rFonts w:hint="eastAsia"/>
          <w:spacing w:val="6"/>
          <w:sz w:val="20"/>
          <w:szCs w:val="20"/>
          <w:lang w:eastAsia="zh-CN"/>
        </w:rPr>
        <w:t>培养基</w:t>
      </w:r>
      <w:r>
        <w:rPr>
          <w:rFonts w:hint="eastAsia"/>
          <w:spacing w:val="5"/>
          <w:sz w:val="20"/>
          <w:szCs w:val="20"/>
        </w:rPr>
        <w:t>在前</w:t>
      </w:r>
      <w:r>
        <w:rPr>
          <w:rFonts w:hint="eastAsia"/>
          <w:spacing w:val="8"/>
          <w:sz w:val="20"/>
          <w:szCs w:val="20"/>
          <w:lang w:eastAsia="zh-CN"/>
        </w:rPr>
        <w:t>）</w:t>
      </w:r>
      <w:r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  <w:lang w:eastAsia="zh-CN"/>
        </w:rPr>
        <w:t>每次调整培养基比例时，需要进行连续多代次的培养。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320" w:leftChars="0" w:right="120" w:rightChars="0" w:hanging="320" w:firstLineChars="0"/>
        <w:jc w:val="both"/>
        <w:textAlignment w:val="auto"/>
        <w:rPr>
          <w:sz w:val="20"/>
          <w:szCs w:val="20"/>
        </w:rPr>
      </w:pPr>
      <w:r>
        <w:rPr>
          <w:rFonts w:hint="eastAsia"/>
          <w:spacing w:val="3"/>
          <w:sz w:val="20"/>
          <w:szCs w:val="20"/>
          <w:lang w:eastAsia="zh-CN"/>
        </w:rPr>
        <w:t>在适应过程中，每</w:t>
      </w:r>
      <w:r>
        <w:rPr>
          <w:rFonts w:hint="eastAsia"/>
          <w:spacing w:val="7"/>
          <w:sz w:val="20"/>
          <w:szCs w:val="20"/>
          <w:lang w:eastAsia="zh-CN"/>
        </w:rPr>
        <w:t>2-</w:t>
      </w:r>
      <w:r>
        <w:rPr>
          <w:rFonts w:hint="eastAsia"/>
          <w:spacing w:val="7"/>
          <w:sz w:val="20"/>
          <w:szCs w:val="20"/>
          <w:lang w:val="en-US" w:eastAsia="zh-CN"/>
        </w:rPr>
        <w:t xml:space="preserve"> </w:t>
      </w:r>
      <w:r>
        <w:rPr>
          <w:rFonts w:hint="eastAsia"/>
          <w:spacing w:val="7"/>
          <w:sz w:val="20"/>
          <w:szCs w:val="20"/>
          <w:lang w:eastAsia="zh-CN"/>
        </w:rPr>
        <w:t>3</w:t>
      </w:r>
      <w:r>
        <w:rPr>
          <w:rFonts w:hint="eastAsia"/>
          <w:spacing w:val="8"/>
          <w:sz w:val="20"/>
          <w:szCs w:val="20"/>
          <w:lang w:eastAsia="zh-CN"/>
        </w:rPr>
        <w:t>天或细胞密度达到</w:t>
      </w:r>
      <w:r>
        <w:rPr>
          <w:rFonts w:hint="eastAsia"/>
          <w:sz w:val="20"/>
          <w:szCs w:val="20"/>
          <w:lang w:eastAsia="zh-CN"/>
        </w:rPr>
        <w:t>3.0-4.0x10</w:t>
      </w:r>
      <w:r>
        <w:rPr>
          <w:rFonts w:hint="eastAsia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position w:val="10"/>
          <w:sz w:val="20"/>
          <w:szCs w:val="20"/>
          <w:vertAlign w:val="superscript"/>
          <w:lang w:eastAsia="zh-CN"/>
        </w:rPr>
        <w:t xml:space="preserve"> </w:t>
      </w:r>
      <w:r>
        <w:rPr>
          <w:rFonts w:hint="eastAsia"/>
          <w:spacing w:val="3"/>
          <w:sz w:val="20"/>
          <w:szCs w:val="20"/>
          <w:lang w:eastAsia="zh-CN"/>
        </w:rPr>
        <w:t>Cells/mL时进行传代，并保持细胞活率高于95%。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40" w:lineRule="exact"/>
        <w:ind w:left="320" w:leftChars="0" w:right="120" w:rightChars="0" w:hanging="320" w:firstLineChars="0"/>
        <w:jc w:val="both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在</w:t>
      </w:r>
      <w:r>
        <w:rPr>
          <w:rFonts w:hint="eastAsia"/>
          <w:spacing w:val="-3"/>
          <w:sz w:val="20"/>
          <w:szCs w:val="20"/>
        </w:rPr>
        <w:t>100</w:t>
      </w:r>
      <w:r>
        <w:rPr>
          <w:rFonts w:hint="eastAsia"/>
          <w:spacing w:val="-10"/>
          <w:sz w:val="20"/>
          <w:szCs w:val="20"/>
        </w:rPr>
        <w:t xml:space="preserve">% 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/>
          <w:sz w:val="20"/>
          <w:szCs w:val="20"/>
          <w:lang w:eastAsia="zh-CN"/>
        </w:rPr>
        <w:t xml:space="preserve"> CHO-100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/>
          <w:spacing w:val="-4"/>
          <w:sz w:val="20"/>
          <w:szCs w:val="20"/>
        </w:rPr>
        <w:t>基础培养基中适应多代后。以</w:t>
      </w:r>
      <w:r>
        <w:rPr>
          <w:rFonts w:hint="eastAsia"/>
          <w:sz w:val="20"/>
          <w:szCs w:val="20"/>
        </w:rPr>
        <w:t>0.4-0.6x10</w:t>
      </w:r>
      <w:r>
        <w:rPr>
          <w:rFonts w:hint="eastAsia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position w:val="10"/>
          <w:sz w:val="20"/>
          <w:szCs w:val="20"/>
          <w:lang w:eastAsia="zh-CN"/>
        </w:rPr>
        <w:t xml:space="preserve"> </w:t>
      </w:r>
      <w:r>
        <w:rPr>
          <w:rFonts w:hint="eastAsia"/>
          <w:spacing w:val="-5"/>
          <w:sz w:val="20"/>
          <w:szCs w:val="20"/>
          <w:lang w:eastAsia="zh-CN"/>
        </w:rPr>
        <w:t>Cells</w:t>
      </w:r>
      <w:r>
        <w:rPr>
          <w:rFonts w:hint="eastAsia"/>
          <w:sz w:val="20"/>
          <w:szCs w:val="20"/>
        </w:rPr>
        <w:t>/mL细胞密度接种并培养3-4天后，活细胞密度</w:t>
      </w:r>
      <w:r>
        <w:rPr>
          <w:rFonts w:hint="eastAsia"/>
          <w:spacing w:val="4"/>
          <w:sz w:val="20"/>
          <w:szCs w:val="20"/>
        </w:rPr>
        <w:t>达到</w:t>
      </w:r>
      <w:r>
        <w:rPr>
          <w:rFonts w:hint="eastAsia"/>
          <w:spacing w:val="2"/>
          <w:sz w:val="20"/>
          <w:szCs w:val="20"/>
        </w:rPr>
        <w:t>3.0-4.0x10</w:t>
      </w:r>
      <w:r>
        <w:rPr>
          <w:rFonts w:hint="eastAsia"/>
          <w:spacing w:val="2"/>
          <w:sz w:val="20"/>
          <w:szCs w:val="20"/>
          <w:vertAlign w:val="superscript"/>
          <w:lang w:val="en-US" w:eastAsia="zh-CN"/>
        </w:rPr>
        <w:t>6</w:t>
      </w:r>
      <w:r>
        <w:rPr>
          <w:rFonts w:hint="eastAsia"/>
          <w:spacing w:val="-5"/>
          <w:position w:val="10"/>
          <w:sz w:val="20"/>
          <w:szCs w:val="20"/>
          <w:lang w:eastAsia="zh-CN"/>
        </w:rPr>
        <w:t xml:space="preserve"> </w:t>
      </w:r>
      <w:r>
        <w:rPr>
          <w:rFonts w:hint="eastAsia"/>
          <w:spacing w:val="-5"/>
          <w:sz w:val="20"/>
          <w:szCs w:val="20"/>
          <w:lang w:eastAsia="zh-CN"/>
        </w:rPr>
        <w:t>Cells</w:t>
      </w:r>
      <w:r>
        <w:rPr>
          <w:rFonts w:hint="eastAsia"/>
          <w:spacing w:val="3"/>
          <w:sz w:val="20"/>
          <w:szCs w:val="20"/>
        </w:rPr>
        <w:t>/mL</w:t>
      </w:r>
      <w:r>
        <w:rPr>
          <w:rFonts w:hint="eastAsia"/>
          <w:spacing w:val="6"/>
          <w:sz w:val="20"/>
          <w:szCs w:val="20"/>
        </w:rPr>
        <w:t>且细胞活率高于</w:t>
      </w:r>
      <w:r>
        <w:rPr>
          <w:rFonts w:hint="eastAsia"/>
          <w:spacing w:val="7"/>
          <w:sz w:val="20"/>
          <w:szCs w:val="20"/>
        </w:rPr>
        <w:t>95%</w:t>
      </w:r>
      <w:r>
        <w:rPr>
          <w:rFonts w:hint="eastAsia"/>
          <w:sz w:val="20"/>
          <w:szCs w:val="20"/>
        </w:rPr>
        <w:t xml:space="preserve">的情况下， </w:t>
      </w:r>
      <w:r>
        <w:rPr>
          <w:rFonts w:hint="eastAsia"/>
          <w:spacing w:val="-1"/>
          <w:sz w:val="20"/>
          <w:szCs w:val="20"/>
        </w:rPr>
        <w:t>可认为细胞已经完全适应</w:t>
      </w:r>
      <w:r>
        <w:rPr>
          <w:rFonts w:hint="eastAsia"/>
          <w:spacing w:val="-1"/>
          <w:sz w:val="20"/>
          <w:szCs w:val="20"/>
          <w:lang w:val="en-US" w:eastAsia="zh-CN"/>
        </w:rPr>
        <w:t>了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/>
          <w:sz w:val="20"/>
          <w:szCs w:val="20"/>
          <w:lang w:eastAsia="zh-CN"/>
        </w:rPr>
        <w:t xml:space="preserve"> CHO-100</w:t>
      </w:r>
      <w:r>
        <w:rPr>
          <w:rFonts w:hint="eastAsia"/>
          <w:sz w:val="20"/>
          <w:szCs w:val="20"/>
        </w:rPr>
        <w:t>基础培养基</w:t>
      </w:r>
      <w:r>
        <w:rPr>
          <w:rFonts w:hint="eastAsia"/>
          <w:sz w:val="20"/>
          <w:szCs w:val="20"/>
          <w:lang w:eastAsia="zh-CN"/>
        </w:rPr>
        <w:t>。</w:t>
      </w:r>
    </w:p>
    <w:p>
      <w:pPr>
        <w:pStyle w:val="2"/>
        <w:tabs>
          <w:tab w:val="left" w:pos="361"/>
        </w:tabs>
        <w:ind w:left="133"/>
        <w:jc w:val="both"/>
        <w:sectPr>
          <w:type w:val="continuous"/>
          <w:pgSz w:w="11910" w:h="16840"/>
          <w:pgMar w:top="1360" w:right="560" w:bottom="280" w:left="580" w:header="720" w:footer="720" w:gutter="0"/>
          <w:pgNumType w:fmt="decimal"/>
          <w:cols w:space="650" w:num="2"/>
        </w:sectPr>
      </w:pPr>
    </w:p>
    <w:p>
      <w:pPr>
        <w:pStyle w:val="3"/>
        <w:spacing w:before="5"/>
        <w:ind w:left="0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sectPr>
          <w:type w:val="continuous"/>
          <w:pgSz w:w="11910" w:h="16840"/>
          <w:pgMar w:top="1360" w:right="560" w:bottom="280" w:left="580" w:header="720" w:footer="720" w:gutter="0"/>
          <w:pgNumType w:fmt="decimal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100"/>
        <w:ind w:left="0" w:leftChars="0" w:firstLine="0" w:firstLineChars="0"/>
        <w:jc w:val="both"/>
        <w:textAlignment w:val="auto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冻存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准备好足量的处于对数生长中期且细胞活率&gt;95%的细胞作为冻存用细胞。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确定活细胞密度并计算所需冷冻保存培养基的体积， 以获得最终的细胞密度&gt;1.0×10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vertAlign w:val="superscript"/>
          <w:lang w:eastAsia="zh-CN"/>
        </w:rPr>
        <w:t>7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 Cells/mL。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准备冻存培养基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90% 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CHO-100培养基和10%DSMO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于2-8°C下预冷备用。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取培养液100 × g离心4分钟，去除上清，用2-8°C预冷的冻存培养基重悬。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按照冻存规格，立即将细胞悬液分装至冻存管中。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通过程序降温或人工控制等方式将细胞逐步降温至冷冻状态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降温速率为1°C/分钟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24小时后将完成冷冻的细胞转移至液氮储罐气相中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储存温度范围：–200°C至–125°C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储藏。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line="320" w:lineRule="exact"/>
        <w:ind w:left="0" w:leftChars="0" w:firstLine="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18"/>
          <w:szCs w:val="18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18"/>
          <w:szCs w:val="18"/>
          <w:lang w:eastAsia="zh-CN"/>
        </w:rPr>
        <w:t>注意: 在液氮中储存24小时后，应抽样测试冻存管中复苏后的细胞活率。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50"/>
        <w:ind w:left="0" w:leftChars="0" w:firstLine="0" w:firstLineChars="0"/>
        <w:jc w:val="both"/>
        <w:textAlignment w:val="auto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复苏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2分钟内在37°C恒温水浴中快速融化。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将冻存管内细胞液转移至装有9mL预热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 CHO-100培养基的15mL离心管内。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离心除去上清液，用新鲜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 CHO-100培养基重悬。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将细胞转移至125mL摇瓶中，置于37°C，5%-8% CO2， 115-125 rpm 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轴距：50mm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摇床中培养。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培养3-5 天，待细胞状态进入对数生长中期后，以0.5x10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vertAlign w:val="superscript"/>
          <w:lang w:eastAsia="zh-CN"/>
        </w:rPr>
        <w:t>6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 Cells/mL细胞密度进行传代培养。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50"/>
        <w:ind w:left="0" w:leftChars="0" w:firstLine="0" w:firstLineChars="0"/>
        <w:jc w:val="both"/>
        <w:textAlignment w:val="auto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培养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50" w:line="34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  <w:t>传代培养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用细胞计数仪测定活细胞密度，以0.4-0.6x10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vertAlign w:val="superscript"/>
          <w:lang w:eastAsia="zh-CN"/>
        </w:rPr>
        <w:t>6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 Cells/mL活细胞密度接种至装有预热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 CHO-100培养基的无菌摇瓶中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例如：125mL摇瓶装30mL培养基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置于37°C，5%-8% CO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vertAlign w:val="subscript"/>
          <w:lang w:eastAsia="zh-CN"/>
        </w:rPr>
        <w:t>2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，115-125 rpm 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轴距：50mm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摇床中培养。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待活细胞密度达到3.0-4.0x10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vertAlign w:val="superscript"/>
          <w:lang w:eastAsia="zh-CN"/>
        </w:rPr>
        <w:t>6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 Cells/mL时用新鲜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 CHO-100培养基进行传代培养。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after="0" w:afterLines="50" w:line="340" w:lineRule="exact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val="en-US" w:eastAsia="zh-CN"/>
        </w:rPr>
        <w:t>批培养测试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在批培养测试开始前，细胞应完全适应</w:t>
      </w:r>
      <w:r>
        <w:rPr>
          <w:rFonts w:hint="eastAsia"/>
          <w:spacing w:val="6"/>
          <w:sz w:val="20"/>
          <w:szCs w:val="20"/>
          <w:lang w:eastAsia="zh-CN"/>
        </w:rPr>
        <w:t>MetaCell</w:t>
      </w:r>
      <w:r>
        <w:rPr>
          <w:rFonts w:hint="eastAsia"/>
          <w:spacing w:val="6"/>
          <w:sz w:val="20"/>
          <w:szCs w:val="20"/>
          <w:vertAlign w:val="superscript"/>
          <w:lang w:val="en-US" w:eastAsia="zh-CN"/>
        </w:rPr>
        <w:t>TM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 CHO-100培养基，并且以常用的接种密度传代培养。在整个培养过程中，应密切注意细胞活率、活细胞密度和蛋白的产量。步骤如下：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第0天，细胞接种密度0.5x10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vertAlign w:val="superscript"/>
          <w:lang w:eastAsia="zh-CN"/>
        </w:rPr>
        <w:t>6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 Cells/mL，125mL摇瓶装30mL培养基。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置于37°C，5%-8% CO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vertAlign w:val="subscript"/>
          <w:lang w:eastAsia="zh-CN"/>
        </w:rPr>
        <w:t>2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 xml:space="preserve">，115-125 rpm 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轴距：50mm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）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摇床中培养。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每隔一天取样作细胞计数和培养基生化检测，培养后期留样进行表达量检测。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批培养过程中，应保持葡萄糖含量不低于2g/L，如果葡萄糖含量低于2g/L，补加至4g/L。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（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注意：本产品含6g/L葡萄糖</w:t>
      </w:r>
      <w:r>
        <w:rPr>
          <w:rFonts w:hint="eastAsia" w:cs="微软雅黑 Light"/>
          <w:b w:val="0"/>
          <w:bCs w:val="0"/>
          <w:sz w:val="20"/>
          <w:szCs w:val="20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20" w:lineRule="exact"/>
        <w:ind w:left="340" w:leftChars="0" w:hanging="34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当细胞活率低于90%或累计培养10天，批培养结束。</w:t>
      </w:r>
    </w:p>
    <w:p>
      <w:pPr>
        <w:jc w:val="center"/>
        <w:rPr>
          <w:rFonts w:hint="eastAsia"/>
          <w:b w:val="0"/>
          <w:bCs w:val="0"/>
          <w:color w:val="FFFFFF" w:themeColor="background1"/>
          <w:sz w:val="20"/>
          <w:szCs w:val="20"/>
          <w:lang w:eastAsia="zh-CN"/>
          <w14:textFill>
            <w14:solidFill>
              <w14:schemeClr w14:val="bg1"/>
            </w14:solidFill>
          </w14:textFill>
        </w:rPr>
        <w:sectPr>
          <w:type w:val="continuous"/>
          <w:pgSz w:w="11910" w:h="16840"/>
          <w:pgMar w:top="1587" w:right="560" w:bottom="280" w:left="580" w:header="720" w:footer="567" w:gutter="0"/>
          <w:pgNumType w:fmt="decimal"/>
          <w:cols w:equalWidth="0" w:num="2">
            <w:col w:w="5060" w:space="650"/>
            <w:col w:w="5060"/>
          </w:cols>
        </w:sectPr>
      </w:pP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5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</w:p>
    <w:p>
      <w:pPr>
        <w:pStyle w:val="3"/>
        <w:spacing w:before="6"/>
        <w:ind w:left="0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 w:bidi="ar-SA"/>
        </w:rPr>
        <w:t>相关产品订购信息：</w:t>
      </w:r>
    </w:p>
    <w:tbl>
      <w:tblPr>
        <w:tblStyle w:val="7"/>
        <w:tblpPr w:leftFromText="180" w:rightFromText="180" w:vertAnchor="page" w:horzAnchor="page" w:tblpX="674" w:tblpY="12569"/>
        <w:tblOverlap w:val="never"/>
        <w:tblW w:w="10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2"/>
        <w:gridCol w:w="1429"/>
        <w:gridCol w:w="1144"/>
        <w:gridCol w:w="2001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002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产品</w:t>
            </w:r>
          </w:p>
        </w:tc>
        <w:tc>
          <w:tcPr>
            <w:tcW w:w="1429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目录号</w:t>
            </w:r>
          </w:p>
        </w:tc>
        <w:tc>
          <w:tcPr>
            <w:tcW w:w="1144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包装规格</w:t>
            </w:r>
          </w:p>
        </w:tc>
        <w:tc>
          <w:tcPr>
            <w:tcW w:w="2001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储存条件</w:t>
            </w:r>
          </w:p>
        </w:tc>
        <w:tc>
          <w:tcPr>
            <w:tcW w:w="2002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0"/>
                <w:szCs w:val="20"/>
                <w:lang w:eastAsia="zh-CN"/>
                <w14:textFill>
                  <w14:solidFill>
                    <w14:schemeClr w14:val="bg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02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MetaCell</w:t>
            </w:r>
            <w:r>
              <w:rPr>
                <w:rFonts w:hint="eastAsia"/>
                <w:b w:val="0"/>
                <w:bCs w:val="0"/>
                <w:sz w:val="20"/>
                <w:szCs w:val="20"/>
                <w:vertAlign w:val="superscript"/>
                <w:lang w:eastAsia="zh-CN"/>
              </w:rPr>
              <w:t>TM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 xml:space="preserve"> Feed-100A培养基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L</w:t>
            </w:r>
            <w:r>
              <w:rPr>
                <w:b w:val="0"/>
                <w:bCs w:val="0"/>
                <w:sz w:val="20"/>
                <w:szCs w:val="20"/>
              </w:rPr>
              <w:t>100</w:t>
            </w:r>
            <w:r>
              <w:rPr>
                <w:rFonts w:hint="eastAsia" w:eastAsia="宋体"/>
                <w:b w:val="0"/>
                <w:bCs w:val="0"/>
                <w:sz w:val="20"/>
                <w:szCs w:val="20"/>
                <w:lang w:eastAsia="zh-CN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rFonts w:hint="eastAsia" w:eastAsia="宋体"/>
                <w:b w:val="0"/>
                <w:bCs w:val="0"/>
                <w:sz w:val="20"/>
                <w:szCs w:val="20"/>
                <w:lang w:eastAsia="zh-CN"/>
              </w:rPr>
              <w:t>0125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125mL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2-8°C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密闭、避光</w:t>
            </w:r>
          </w:p>
        </w:tc>
        <w:tc>
          <w:tcPr>
            <w:tcW w:w="2002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3个月（暂定）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L</w:t>
            </w:r>
            <w:r>
              <w:rPr>
                <w:b w:val="0"/>
                <w:bCs w:val="0"/>
                <w:sz w:val="20"/>
                <w:szCs w:val="20"/>
              </w:rPr>
              <w:t>100</w:t>
            </w:r>
            <w:r>
              <w:rPr>
                <w:rFonts w:hint="eastAsia" w:eastAsia="宋体"/>
                <w:b w:val="0"/>
                <w:bCs w:val="0"/>
                <w:sz w:val="20"/>
                <w:szCs w:val="20"/>
                <w:lang w:eastAsia="zh-CN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rFonts w:hint="eastAsia" w:eastAsia="宋体"/>
                <w:b w:val="0"/>
                <w:bCs w:val="0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1000mL</w:t>
            </w:r>
          </w:p>
        </w:tc>
        <w:tc>
          <w:tcPr>
            <w:tcW w:w="200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02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MetaCell</w:t>
            </w:r>
            <w:r>
              <w:rPr>
                <w:rFonts w:hint="eastAsia"/>
                <w:b w:val="0"/>
                <w:bCs w:val="0"/>
                <w:sz w:val="20"/>
                <w:szCs w:val="20"/>
                <w:vertAlign w:val="superscript"/>
                <w:lang w:eastAsia="zh-CN"/>
              </w:rPr>
              <w:t>TM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 xml:space="preserve"> Feed-100B培养基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eastAsia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0"/>
                <w:lang w:eastAsia="zh-CN"/>
              </w:rPr>
              <w:t>L1002-0025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25mL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sz w:val="20"/>
                <w:szCs w:val="20"/>
              </w:rPr>
              <w:t>2-8°C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密闭、避光</w:t>
            </w:r>
          </w:p>
        </w:tc>
        <w:tc>
          <w:tcPr>
            <w:tcW w:w="2002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3个月（暂定）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eastAsia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0"/>
                <w:szCs w:val="20"/>
                <w:lang w:eastAsia="zh-CN"/>
              </w:rPr>
              <w:t>L1002-0500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500mL</w:t>
            </w:r>
          </w:p>
        </w:tc>
        <w:tc>
          <w:tcPr>
            <w:tcW w:w="200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20" w:lineRule="exac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地址：江苏省苏州市高新区大同路20号三区2号3幢厂房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20" w:lineRule="exac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电话：0512-67332699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20" w:lineRule="exac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  <w:t>邮箱：service@cellplusbio.com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before="5"/>
        <w:rPr>
          <w:rFonts w:hint="eastAsia" w:ascii="微软雅黑 Light" w:hAnsi="微软雅黑 Light" w:eastAsia="微软雅黑 Light" w:cs="微软雅黑 Light"/>
          <w:b w:val="0"/>
          <w:bCs w:val="0"/>
          <w:sz w:val="20"/>
          <w:szCs w:val="20"/>
          <w:lang w:eastAsia="zh-CN"/>
        </w:rPr>
      </w:pPr>
    </w:p>
    <w:sectPr>
      <w:type w:val="continuous"/>
      <w:pgSz w:w="11910" w:h="16840"/>
      <w:pgMar w:top="1360" w:right="560" w:bottom="280" w:left="58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lang w:val="en-US"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思鹏生物科技</w:t>
    </w:r>
    <w:r>
      <w:rPr>
        <w:rFonts w:ascii="Arial" w:eastAsia="Arial"/>
        <w:b/>
        <w:position w:val="1"/>
        <w:sz w:val="20"/>
        <w:szCs w:val="20"/>
        <w:lang w:eastAsia="zh-CN"/>
      </w:rPr>
      <w:t>(</w: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苏州</w:t>
    </w:r>
    <w:r>
      <w:rPr>
        <w:rFonts w:ascii="Arial" w:eastAsia="Arial"/>
        <w:b/>
        <w:position w:val="1"/>
        <w:sz w:val="20"/>
        <w:szCs w:val="20"/>
        <w:lang w:eastAsia="zh-CN"/>
      </w:rPr>
      <w:t>)</w: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思鹏生物科技</w:t>
    </w:r>
    <w:r>
      <w:rPr>
        <w:rFonts w:ascii="Arial" w:eastAsia="Arial"/>
        <w:b/>
        <w:position w:val="1"/>
        <w:sz w:val="20"/>
        <w:szCs w:val="20"/>
        <w:lang w:eastAsia="zh-CN"/>
      </w:rPr>
      <w:t>(</w: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苏州</w:t>
    </w:r>
    <w:r>
      <w:rPr>
        <w:rFonts w:ascii="Arial" w:eastAsia="Arial"/>
        <w:b/>
        <w:position w:val="1"/>
        <w:sz w:val="20"/>
        <w:szCs w:val="20"/>
        <w:lang w:eastAsia="zh-CN"/>
      </w:rPr>
      <w:t>)</w:t>
    </w:r>
    <w:r>
      <w:rPr>
        <w:rFonts w:hint="eastAsia" w:ascii="微软雅黑" w:eastAsia="微软雅黑"/>
        <w:b/>
        <w:position w:val="1"/>
        <w:sz w:val="20"/>
        <w:szCs w:val="20"/>
        <w:lang w:eastAsia="zh-CN"/>
      </w:rPr>
      <w:t>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374650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1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>USER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.5pt;margin-top:32.35pt;height:17.65pt;width:89.15pt;mso-position-horizontal-relative:page;mso-position-vertical-relative:page;z-index:-251655168;mso-width-relative:page;mso-height-relative:page;" filled="f" stroked="f" coordsize="21600,21600" o:gfxdata="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AaJ4A2AAAAAkBAAAPAAAAAAAAAAEAIAAAACIAAABkcnMvZG93bnJldi54bWxQSwEC&#10;FAAUAAAACACHTuJASbpGhL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>USER GUIDE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558800</wp:posOffset>
              </wp:positionV>
              <wp:extent cx="1132205" cy="250825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eastAsia="Arial"/>
                              <w:b/>
                              <w:color w:val="727171"/>
                              <w:sz w:val="28"/>
                              <w:lang w:eastAsia="zh-CN"/>
                            </w:rPr>
                            <w:t>Version</w:t>
                          </w:r>
                          <w:r>
                            <w:rPr>
                              <w:rFonts w:hint="eastAsia" w:ascii="微软雅黑" w:eastAsia="微软雅黑"/>
                              <w:b/>
                              <w:color w:val="727171"/>
                              <w:sz w:val="28"/>
                              <w:lang w:eastAsia="zh-CN"/>
                            </w:rPr>
                            <w:t>：</w:t>
                          </w:r>
                          <w:r>
                            <w:rPr>
                              <w:rFonts w:ascii="Arial" w:eastAsia="Arial"/>
                              <w:b/>
                              <w:color w:val="727171"/>
                              <w:sz w:val="28"/>
                              <w:lang w:eastAsia="zh-CN"/>
                            </w:rPr>
                            <w:t>00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.9pt;margin-top:44pt;height:19.75pt;width:89.15pt;mso-position-horizontal-relative:page;mso-position-vertical-relative:page;z-index:-251657216;mso-width-relative:page;mso-height-relative:page;" filled="f" stroked="f" coordsize="21600,21600" o:gfxdata="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gj3MXYAAAACQEAAA8AAAAAAAAAAQAgAAAAIgAAAGRycy9kb3du&#10;cmV2LnhtbFBLAQIUABQAAAAIAIdO4kD2rAbFxgEAAIwDAAAOAAAAAAAAAAEAIAAAAC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 w:eastAsia="Arial"/>
                        <w:b/>
                        <w:color w:val="727171"/>
                        <w:sz w:val="28"/>
                        <w:lang w:eastAsia="zh-CN"/>
                      </w:rPr>
                      <w:t>Version</w:t>
                    </w:r>
                    <w:r>
                      <w:rPr>
                        <w:rFonts w:hint="eastAsia" w:ascii="微软雅黑" w:eastAsia="微软雅黑"/>
                        <w:b/>
                        <w:color w:val="727171"/>
                        <w:sz w:val="28"/>
                        <w:lang w:eastAsia="zh-CN"/>
                      </w:rPr>
                      <w:t>：</w:t>
                    </w:r>
                    <w:r>
                      <w:rPr>
                        <w:rFonts w:ascii="Arial" w:eastAsia="Arial"/>
                        <w:b/>
                        <w:color w:val="727171"/>
                        <w:sz w:val="28"/>
                        <w:lang w:eastAsia="zh-CN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5373370</wp:posOffset>
          </wp:positionH>
          <wp:positionV relativeFrom="paragraph">
            <wp:posOffset>-133985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1" name="图片 1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410845</wp:posOffset>
              </wp:positionV>
              <wp:extent cx="1132205" cy="224155"/>
              <wp:effectExtent l="0" t="0" r="0" b="0"/>
              <wp:wrapNone/>
              <wp:docPr id="2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27171"/>
                              <w:sz w:val="28"/>
                            </w:rPr>
                            <w:t>USER GUIDE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28.5pt;margin-top:32.35pt;height:17.65pt;width:89.15pt;mso-position-horizontal-relative:page;mso-position-vertical-relative:page;z-index:-251654144;mso-width-relative:page;mso-height-relative:page;" filled="f" stroked="f" coordsize="21600,21600" o:gfxdata="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V+1XYAAAACQEAAA8AAAAAAAAAAQAgAAAAIgAAAGRycy9kb3ducmV2LnhtbFBLAQIU&#10;ABQAAAAIAIdO4kBQO6BTugEAAHQ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727171"/>
                        <w:sz w:val="28"/>
                      </w:rPr>
                      <w:t>USER GUIDE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379730</wp:posOffset>
              </wp:positionH>
              <wp:positionV relativeFrom="page">
                <wp:posOffset>558800</wp:posOffset>
              </wp:positionV>
              <wp:extent cx="1132205" cy="25082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20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eastAsia="Arial"/>
                              <w:b/>
                              <w:color w:val="727171"/>
                              <w:sz w:val="28"/>
                              <w:lang w:eastAsia="zh-CN"/>
                            </w:rPr>
                            <w:t>Version</w:t>
                          </w:r>
                          <w:r>
                            <w:rPr>
                              <w:rFonts w:hint="eastAsia" w:ascii="微软雅黑" w:eastAsia="微软雅黑"/>
                              <w:b/>
                              <w:color w:val="727171"/>
                              <w:sz w:val="28"/>
                              <w:lang w:eastAsia="zh-CN"/>
                            </w:rPr>
                            <w:t>：</w:t>
                          </w:r>
                          <w:r>
                            <w:rPr>
                              <w:rFonts w:ascii="Arial" w:eastAsia="Arial"/>
                              <w:b/>
                              <w:color w:val="727171"/>
                              <w:sz w:val="28"/>
                              <w:lang w:eastAsia="zh-CN"/>
                            </w:rPr>
                            <w:t>00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.9pt;margin-top:44pt;height:19.75pt;width:89.15pt;mso-position-horizontal-relative:page;mso-position-vertical-relative:page;z-index:-251656192;mso-width-relative:page;mso-height-relative:page;" filled="f" stroked="f" coordsize="21600,21600" o:gfxdata="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oI9zF2AAAAAkBAAAPAAAAAAAAAAEAIAAAACIAAABkcnMvZG93&#10;bnJldi54bWxQSwECFAAUAAAACACHTuJAt0SCV8cBAACMAwAADgAAAAAAAAABACAAAAAn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 w:eastAsia="Arial"/>
                        <w:b/>
                        <w:color w:val="727171"/>
                        <w:sz w:val="28"/>
                        <w:lang w:eastAsia="zh-CN"/>
                      </w:rPr>
                      <w:t>Version</w:t>
                    </w:r>
                    <w:r>
                      <w:rPr>
                        <w:rFonts w:hint="eastAsia" w:ascii="微软雅黑" w:eastAsia="微软雅黑"/>
                        <w:b/>
                        <w:color w:val="727171"/>
                        <w:sz w:val="28"/>
                        <w:lang w:eastAsia="zh-CN"/>
                      </w:rPr>
                      <w:t>：</w:t>
                    </w:r>
                    <w:r>
                      <w:rPr>
                        <w:rFonts w:ascii="Arial" w:eastAsia="Arial"/>
                        <w:b/>
                        <w:color w:val="727171"/>
                        <w:sz w:val="28"/>
                        <w:lang w:eastAsia="zh-CN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5373370</wp:posOffset>
          </wp:positionH>
          <wp:positionV relativeFrom="paragraph">
            <wp:posOffset>-231140</wp:posOffset>
          </wp:positionV>
          <wp:extent cx="1435735" cy="501015"/>
          <wp:effectExtent l="0" t="0" r="12065" b="1905"/>
          <wp:wrapTight wrapText="bothSides">
            <wp:wrapPolygon>
              <wp:start x="0" y="0"/>
              <wp:lineTo x="0" y="21025"/>
              <wp:lineTo x="21323" y="21025"/>
              <wp:lineTo x="21323" y="0"/>
              <wp:lineTo x="0" y="0"/>
            </wp:wrapPolygon>
          </wp:wrapTight>
          <wp:docPr id="25" name="图片 25" descr="思鹏生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思鹏生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73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66FF7"/>
    <w:multiLevelType w:val="singleLevel"/>
    <w:tmpl w:val="97766FF7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</w:pPr>
      <w:rPr>
        <w:rFonts w:hint="default"/>
      </w:rPr>
    </w:lvl>
  </w:abstractNum>
  <w:abstractNum w:abstractNumId="1">
    <w:nsid w:val="CE64C5DB"/>
    <w:multiLevelType w:val="singleLevel"/>
    <w:tmpl w:val="CE64C5DB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20" w:leftChars="0" w:hanging="320" w:firstLineChars="0"/>
      </w:pPr>
      <w:rPr>
        <w:rFonts w:hint="default"/>
      </w:rPr>
    </w:lvl>
  </w:abstractNum>
  <w:abstractNum w:abstractNumId="2">
    <w:nsid w:val="E0E72975"/>
    <w:multiLevelType w:val="singleLevel"/>
    <w:tmpl w:val="E0E72975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</w:pPr>
      <w:rPr>
        <w:rFonts w:hint="default"/>
      </w:rPr>
    </w:lvl>
  </w:abstractNum>
  <w:abstractNum w:abstractNumId="3">
    <w:nsid w:val="EC7AE5AF"/>
    <w:multiLevelType w:val="singleLevel"/>
    <w:tmpl w:val="EC7AE5AF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</w:pPr>
      <w:rPr>
        <w:rFonts w:hint="default"/>
      </w:rPr>
    </w:lvl>
  </w:abstractNum>
  <w:abstractNum w:abstractNumId="4">
    <w:nsid w:val="05DD1BED"/>
    <w:multiLevelType w:val="singleLevel"/>
    <w:tmpl w:val="05DD1BED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</w:pPr>
      <w:rPr>
        <w:rFonts w:hint="default"/>
      </w:rPr>
    </w:lvl>
  </w:abstractNum>
  <w:abstractNum w:abstractNumId="5">
    <w:nsid w:val="18F94DA0"/>
    <w:multiLevelType w:val="singleLevel"/>
    <w:tmpl w:val="18F94DA0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</w:pPr>
      <w:rPr>
        <w:rFonts w:hint="default"/>
      </w:rPr>
    </w:lvl>
  </w:abstractNum>
  <w:abstractNum w:abstractNumId="6">
    <w:nsid w:val="1C1BD622"/>
    <w:multiLevelType w:val="singleLevel"/>
    <w:tmpl w:val="1C1BD622"/>
    <w:lvl w:ilvl="0" w:tentative="0">
      <w:start w:val="1"/>
      <w:numFmt w:val="bullet"/>
      <w:lvlText w:val="•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7">
    <w:nsid w:val="27EE0167"/>
    <w:multiLevelType w:val="singleLevel"/>
    <w:tmpl w:val="27EE0167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340" w:leftChars="0" w:hanging="340" w:firstLineChars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zk3Zjg1ZDhkODk1YTBjODFmYWI0YmJlMDNjYWUifQ=="/>
  </w:docVars>
  <w:rsids>
    <w:rsidRoot w:val="00BC3C49"/>
    <w:rsid w:val="00494161"/>
    <w:rsid w:val="00A67730"/>
    <w:rsid w:val="00BC3C49"/>
    <w:rsid w:val="00BD609F"/>
    <w:rsid w:val="00EE622C"/>
    <w:rsid w:val="06FC314E"/>
    <w:rsid w:val="0FFA1F9D"/>
    <w:rsid w:val="12151A66"/>
    <w:rsid w:val="13EC7D20"/>
    <w:rsid w:val="19C808E7"/>
    <w:rsid w:val="19CD23EA"/>
    <w:rsid w:val="1E8C29A9"/>
    <w:rsid w:val="21864F68"/>
    <w:rsid w:val="270C4509"/>
    <w:rsid w:val="2DB6555C"/>
    <w:rsid w:val="40781645"/>
    <w:rsid w:val="4E3F66C2"/>
    <w:rsid w:val="54EC207E"/>
    <w:rsid w:val="58235D72"/>
    <w:rsid w:val="59D40607"/>
    <w:rsid w:val="5BDB7D93"/>
    <w:rsid w:val="5CA11960"/>
    <w:rsid w:val="5FF16BC8"/>
    <w:rsid w:val="626745B7"/>
    <w:rsid w:val="636433B8"/>
    <w:rsid w:val="63D3192F"/>
    <w:rsid w:val="777B1CE4"/>
    <w:rsid w:val="777D6859"/>
    <w:rsid w:val="77E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338" w:lineRule="exact"/>
      <w:ind w:left="100"/>
      <w:outlineLvl w:val="0"/>
    </w:pPr>
    <w:rPr>
      <w:rFonts w:ascii="微软雅黑" w:hAnsi="微软雅黑" w:eastAsia="微软雅黑" w:cs="微软雅黑"/>
      <w:b/>
      <w:bCs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60"/>
    </w:pPr>
    <w:rPr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79" w:line="320" w:lineRule="exact"/>
      <w:ind w:left="360" w:hanging="260"/>
    </w:pPr>
  </w:style>
  <w:style w:type="paragraph" w:customStyle="1" w:styleId="11">
    <w:name w:val="Table Paragraph"/>
    <w:basedOn w:val="1"/>
    <w:qFormat/>
    <w:uiPriority w:val="1"/>
    <w:pPr>
      <w:ind w:left="5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5AC22-D717-4246-BDDD-A8008483CF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1556</Words>
  <Characters>2370</Characters>
  <Lines>17</Lines>
  <Paragraphs>4</Paragraphs>
  <TotalTime>2</TotalTime>
  <ScaleCrop>false</ScaleCrop>
  <LinksUpToDate>false</LinksUpToDate>
  <CharactersWithSpaces>2434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2022-01-24T13:47:00Z</dcterms:created>
  <dc:creator>Tony.Liu</dc:creator>
  <cp:lastModifiedBy>CaoYing</cp:lastModifiedBy>
  <cp:lastPrinted>2022-02-15T09:18:00Z</cp:lastPrinted>
  <dcterms:modified xsi:type="dcterms:W3CDTF">2023-01-05T05:47:32Z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2022-01-24T00:00:00Z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A91E0218023E4F05B9B98EBCF4F5DBBD</vt:lpwstr>
  </property>
</Properties>
</file>